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许昌市卫健委积极推进职业卫生分级分类监管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根据省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卫生健康行政部门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文件要求，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职业卫生分级分类监管工作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高度重视，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委分管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领导组织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监督科和职业科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人员召开专项工作会议，对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职业卫生分级分类监督执法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工作进行全面安排部署，明确分工。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我委制定了《2022年许昌市职业卫生分类监督执法工作实施方案》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，详细向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讲解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开展职业卫生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分级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分类监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督执法工作的重要性、必要性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召开培训会，对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县（区）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存在职业病危害用人单位职业卫生管理相关人员进行了培训，对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《职业卫生分类监督执法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工作手册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自查表、暴露风险评估表等附件内容逐页进行讲解，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使其熟练掌握分类监督的方式方法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及注意事项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通过督导，全面推进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用人单位职业卫生分类监督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模式，实现差异化监督执法，</w:t>
      </w:r>
      <w:r>
        <w:rPr>
          <w:rFonts w:ascii="仿宋_GB2312" w:hAnsi="仿宋_GB2312" w:eastAsia="仿宋_GB2312" w:cs="仿宋_GB2312"/>
          <w:sz w:val="32"/>
          <w:szCs w:val="32"/>
        </w:rPr>
        <w:t>解决监督执法人员少与用人单位数量多的矛盾，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提高职业卫生监管效能；推动用人单位建立</w:t>
      </w:r>
      <w:r>
        <w:rPr>
          <w:rFonts w:ascii="仿宋_GB2312" w:hAnsi="仿宋_GB2312" w:eastAsia="仿宋_GB2312" w:cs="仿宋_GB2312"/>
          <w:sz w:val="32"/>
          <w:szCs w:val="32"/>
        </w:rPr>
        <w:t>职业病</w:t>
      </w:r>
      <w:r>
        <w:rPr>
          <w:rFonts w:hint="eastAsia" w:ascii="仿宋_GB2312" w:hAnsi="仿宋_GB2312" w:eastAsia="仿宋_GB2312" w:cs="仿宋_GB2312"/>
          <w:sz w:val="32"/>
          <w:szCs w:val="32"/>
        </w:rPr>
        <w:t>防治自查制度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落实职业病防治主体责任，切实保护劳动者健康及相关权益。</w:t>
      </w:r>
    </w:p>
    <w:p>
      <w:pPr>
        <w:bidi w:val="0"/>
        <w:ind w:firstLine="285" w:firstLineChars="0"/>
        <w:jc w:val="left"/>
        <w:rPr>
          <w:rFonts w:hint="eastAsia" w:ascii="Calibri" w:hAnsi="Calibri" w:eastAsia="宋体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NDY0NWIxNTYwYjFkNmIyNTY3YTQ2MDFjMGM5ZTgifQ=="/>
  </w:docVars>
  <w:rsids>
    <w:rsidRoot w:val="0F506FF4"/>
    <w:rsid w:val="0F506FF4"/>
    <w:rsid w:val="3F680162"/>
    <w:rsid w:val="48A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414</Characters>
  <Lines>0</Lines>
  <Paragraphs>0</Paragraphs>
  <TotalTime>64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2023-06-01T00:30:00Z</dcterms:created>
  <dc:creator>夏梦</dc:creator>
  <cp:lastModifiedBy>夏梦</cp:lastModifiedBy>
  <dcterms:modified xsi:type="dcterms:W3CDTF">2023-06-01T03:06:26Z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30C5375A5A7D48BAB270F612F1864850_11</vt:lpwstr>
  </property>
</Properties>
</file>