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许昌市卫计委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2018年度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依法行政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工作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8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报告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2018年以来，我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委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在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委、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政府以及上级主管部门的领导下，按照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市政府法制办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要求，紧紧围绕全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依法行政和法治政府建设的总体部署和本部门的中心工作，加强组织领导，采取积极有效措施，认真落实行政执法责任制，促进和推动法治政府建设工作，取得了明显成效。现汇报如下: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  <w:shd w:val="clear" w:fill="FFFFFF"/>
        </w:rPr>
        <w:t>一、2018年度工作完成情况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8"/>
          <w:sz w:val="32"/>
          <w:szCs w:val="32"/>
          <w:shd w:val="clear" w:fill="FFFFFF"/>
        </w:rPr>
        <w:t>(一)加强领导，夯实基础建设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切实加强对依法行政工作的组织领导，把依法行政工作纳入年度目标考核，列入年初制定的全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委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工作计划，积极推进依法行政工作向依法决策、依法管理、依法运行转变。一是成立依法行政工作领导小组，以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主任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为组长，其他班子成员为副组长，统一组织领导全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委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依法行政工作。二是加强法治建设领导责任制，明确单位领导亲自抓，对全系统法治建设的总体目标、主要任务及工作措施提出明确要求，形成稳步有序推进的工作格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。三是严格执法制度，真正做到有法可依，有法必依，执法必严，违法必究，做到了情为民所系、权为民所用、利为民所谋。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8"/>
          <w:sz w:val="32"/>
          <w:szCs w:val="32"/>
          <w:shd w:val="clear" w:fill="FFFFFF"/>
        </w:rPr>
        <w:t>(二)完善机制，依法科学民主决策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为规范行政决策程序，减少决策失误，保证决策质量，对重大行政决策范围和程序予以明确规定。为使各科室提高认识，严格遵循，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委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里还召开专题学习会，逐条学习，并对重大行政决策事项范围、调查研究和风险评估、公众参与、咨询论证、合法性审查、集体讨论决定和公布及决策监督检查和责任追究等进行重点讲解，确保重大行政决策正确实施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8"/>
          <w:sz w:val="32"/>
          <w:szCs w:val="32"/>
          <w:shd w:val="clear" w:fill="FFFFFF"/>
        </w:rPr>
        <w:t>(三)加强监督管理，落实备案制度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认真落实规范性文件管理制度，并按相关规定进行规范性文件清理工作，确保现有规范性文件合法合规。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8"/>
          <w:sz w:val="32"/>
          <w:szCs w:val="32"/>
          <w:shd w:val="clear" w:fill="FFFFFF"/>
        </w:rPr>
        <w:t>(四)加强信息公开，拓展公开渠道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认真落实行政执法公示制度，强化对行政权力的制约和监督。实施行政执法公示制度，在门户网站上设置“政务公开专栏”，公示年度涉企执法检查计划、执法人员名单、权责清单等信息，把门户网站打造成为我委发布信息、公开政务、为公众提供在线服务的窗口和了解计生工作的重要渠道。同时，积极探索通过其它主流媒体进行日常政务公开的渠道，如通过微信等社交软件进行相应内容的公开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8"/>
          <w:sz w:val="32"/>
          <w:szCs w:val="32"/>
          <w:shd w:val="clear" w:fill="FFFFFF"/>
        </w:rPr>
        <w:t>(五)开展学法及“谁执法 谁普法”工作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通过开展“谁执法谁普法”工作，使广大干部职工和群众进一步增强宪法和法律意识，牢固树立依法管理、依法执业、依法办事、依法维权、诚实守信的观念。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一是成立了普法依法治理领导小组，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委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长为组长，副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委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长为副组长，各科室科长为小组成员。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二是制定了年度普法责任清单，重点学习和宣传《中医药法》、《职业病防治法》、《食品卫生法》、《执业医师法》、《母婴保健法》、《劳动合同法》、《突发事件应对法》、《中华人民共和国人口与计划生育法》、《计划生育技术服务管理条例》等法律法规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8"/>
          <w:sz w:val="32"/>
          <w:szCs w:val="32"/>
          <w:shd w:val="clear" w:fill="FFFFFF"/>
        </w:rPr>
        <w:t>(六)公正文明执法，加强培训学习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一是提高思想认识，加强领导，推动依法行政、文明执法工作落实到位;二是分清层次，分重点，开展执法工作;三是形成“社会监督、日常监管、重点检查”执法管理机制;四是严格要求行政执法人员参加法制培训，参培率100%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  <w:shd w:val="clear" w:fill="FFFFFF"/>
        </w:rPr>
        <w:t>二、存在的不足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一是行政执法人员的依法行政能力和水平仍有待提高，还需进一步规范执法程序，把执法工作做实做细，进一步提高行政执法人员的执法执政水平。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二是普法宣传力度有待进一步加强。存在比较重视宣传系统内的法律法规，对《民法》、《刑法》等法律的宣传力度还不够的问题，需要进一步加强。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楷体_GB2312" w:hAnsi="楷体_GB2312" w:eastAsia="楷体_GB2312" w:cs="楷体_GB2312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8"/>
          <w:sz w:val="32"/>
          <w:szCs w:val="32"/>
          <w:shd w:val="clear" w:fill="FFFFFF"/>
        </w:rPr>
        <w:t>三、下一步工作打算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坚持围绕中心、服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务大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，坚持科学规划、统筹安排，坚持重点突破、整体推进，坚持夯实基础、开拓创新，深入推进依法行政，完善相应制度体系，加快建设法治政府步伐。坚持党的领导，认真落实党政主要负责人履行推进法治建设第一责任人职责，把建设法治政府摆在全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委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的重要位置，细化任务分工，强化责任意识，一级抓一级，层层抓落实。要强化法治政府建设考核评价，加强依法行政工作督促检查，从而有力推动法治政府建设不断迈出新步伐，取得新成效。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jc w:val="right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许昌市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卫生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计生委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jc w:val="right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2019年1月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E6909"/>
    <w:rsid w:val="208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2020-03-30T09:49:00Z</dcterms:created>
  <dc:creator>榆潜</dc:creator>
  <cp:lastModifiedBy>榆潜</cp:lastModifiedBy>
  <dcterms:modified xsi:type="dcterms:W3CDTF">2020-03-30T09:55:46Z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